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041C6" w:rsidRPr="00B041C6">
        <w:rPr>
          <w:rFonts w:ascii="ＭＳ 明朝" w:hAnsi="ＭＳ 明朝" w:hint="eastAsia"/>
          <w:sz w:val="22"/>
          <w:szCs w:val="22"/>
        </w:rPr>
        <w:t>税関事務自動化機能の構築に伴う第</w:t>
      </w:r>
      <w:r w:rsidR="00B041C6" w:rsidRPr="00B041C6">
        <w:rPr>
          <w:rFonts w:ascii="ＭＳ 明朝" w:hAnsi="ＭＳ 明朝"/>
          <w:sz w:val="22"/>
          <w:szCs w:val="22"/>
        </w:rPr>
        <w:t>4</w:t>
      </w:r>
      <w:r w:rsidR="00B041C6" w:rsidRPr="00B041C6">
        <w:rPr>
          <w:rFonts w:ascii="ＭＳ 明朝" w:hAnsi="ＭＳ 明朝" w:hint="eastAsia"/>
          <w:sz w:val="22"/>
          <w:szCs w:val="22"/>
        </w:rPr>
        <w:t>次通関情報総合判定システム（第</w:t>
      </w:r>
      <w:r w:rsidR="00B041C6" w:rsidRPr="00B041C6">
        <w:rPr>
          <w:rFonts w:ascii="ＭＳ 明朝" w:hAnsi="ＭＳ 明朝"/>
          <w:sz w:val="22"/>
          <w:szCs w:val="22"/>
        </w:rPr>
        <w:t>4</w:t>
      </w:r>
      <w:r w:rsidR="00B041C6" w:rsidRPr="00B041C6">
        <w:rPr>
          <w:rFonts w:ascii="ＭＳ 明朝" w:hAnsi="ＭＳ 明朝" w:hint="eastAsia"/>
          <w:sz w:val="22"/>
          <w:szCs w:val="22"/>
        </w:rPr>
        <w:t>次</w:t>
      </w:r>
      <w:r w:rsidR="00B041C6" w:rsidRPr="00B041C6">
        <w:rPr>
          <w:rFonts w:ascii="ＭＳ 明朝" w:hAnsi="ＭＳ 明朝"/>
          <w:sz w:val="22"/>
          <w:szCs w:val="22"/>
        </w:rPr>
        <w:t>CIS</w:t>
      </w:r>
      <w:r w:rsidR="00B041C6" w:rsidRPr="00B041C6">
        <w:rPr>
          <w:rFonts w:ascii="ＭＳ 明朝" w:hAnsi="ＭＳ 明朝" w:hint="eastAsia"/>
          <w:sz w:val="22"/>
          <w:szCs w:val="22"/>
        </w:rPr>
        <w:t>）に係る追加ハードウェアの賃貸借及び保守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305C9B">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B041C6" w:rsidRPr="00B041C6">
        <w:rPr>
          <w:rFonts w:ascii="ＭＳ 明朝" w:hAnsi="ＭＳ 明朝" w:hint="eastAsia"/>
          <w:sz w:val="22"/>
          <w:szCs w:val="22"/>
        </w:rPr>
        <w:t>税関事務自動化機能の構築に伴う第</w:t>
      </w:r>
      <w:r w:rsidR="00B041C6" w:rsidRPr="00B041C6">
        <w:rPr>
          <w:rFonts w:ascii="ＭＳ 明朝" w:hAnsi="ＭＳ 明朝"/>
          <w:sz w:val="22"/>
          <w:szCs w:val="22"/>
        </w:rPr>
        <w:t>4</w:t>
      </w:r>
      <w:r w:rsidR="00B041C6" w:rsidRPr="00B041C6">
        <w:rPr>
          <w:rFonts w:ascii="ＭＳ 明朝" w:hAnsi="ＭＳ 明朝" w:hint="eastAsia"/>
          <w:sz w:val="22"/>
          <w:szCs w:val="22"/>
        </w:rPr>
        <w:t>次通関情報総合判定システム（第</w:t>
      </w:r>
      <w:r w:rsidR="00B041C6" w:rsidRPr="00B041C6">
        <w:rPr>
          <w:rFonts w:ascii="ＭＳ 明朝" w:hAnsi="ＭＳ 明朝"/>
          <w:sz w:val="22"/>
          <w:szCs w:val="22"/>
        </w:rPr>
        <w:t>4</w:t>
      </w:r>
      <w:r w:rsidR="00B041C6" w:rsidRPr="00B041C6">
        <w:rPr>
          <w:rFonts w:ascii="ＭＳ 明朝" w:hAnsi="ＭＳ 明朝" w:hint="eastAsia"/>
          <w:sz w:val="22"/>
          <w:szCs w:val="22"/>
        </w:rPr>
        <w:t>次</w:t>
      </w:r>
      <w:r w:rsidR="00B041C6" w:rsidRPr="00B041C6">
        <w:rPr>
          <w:rFonts w:ascii="ＭＳ 明朝" w:hAnsi="ＭＳ 明朝"/>
          <w:sz w:val="22"/>
          <w:szCs w:val="22"/>
        </w:rPr>
        <w:t>CIS</w:t>
      </w:r>
      <w:r w:rsidR="00B041C6" w:rsidRPr="00B041C6">
        <w:rPr>
          <w:rFonts w:ascii="ＭＳ 明朝" w:hAnsi="ＭＳ 明朝" w:hint="eastAsia"/>
          <w:sz w:val="22"/>
          <w:szCs w:val="22"/>
        </w:rPr>
        <w:t>）に係る追加ハードウェアの賃貸借及び保守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305C9B">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343D2B">
      <w:pPr>
        <w:pStyle w:val="a9"/>
      </w:pPr>
      <w:r w:rsidRPr="007F484D">
        <w:rPr>
          <w:rFonts w:hint="eastAsia"/>
        </w:rPr>
        <w:t>以上</w:t>
      </w:r>
    </w:p>
    <w:p w:rsidR="00343D2B" w:rsidRDefault="00343D2B" w:rsidP="00B44B9B">
      <w:pPr>
        <w:spacing w:line="140" w:lineRule="atLeast"/>
        <w:jc w:val="right"/>
        <w:rPr>
          <w:sz w:val="22"/>
          <w:szCs w:val="22"/>
        </w:rPr>
      </w:pPr>
    </w:p>
    <w:p w:rsidR="00343D2B" w:rsidRDefault="00343D2B" w:rsidP="00B44B9B">
      <w:pPr>
        <w:spacing w:line="140" w:lineRule="atLeast"/>
        <w:jc w:val="right"/>
        <w:rPr>
          <w:sz w:val="22"/>
          <w:szCs w:val="22"/>
        </w:rPr>
      </w:pPr>
    </w:p>
    <w:p w:rsidR="00343D2B" w:rsidRPr="0008211E" w:rsidRDefault="00343D2B" w:rsidP="00343D2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343D2B" w:rsidRPr="0008211E" w:rsidRDefault="00343D2B" w:rsidP="00343D2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43D2B" w:rsidRPr="0008211E" w:rsidTr="008F7FD3">
        <w:trPr>
          <w:tblHeader/>
        </w:trPr>
        <w:tc>
          <w:tcPr>
            <w:tcW w:w="648" w:type="dxa"/>
            <w:tcBorders>
              <w:top w:val="single" w:sz="4" w:space="0" w:color="auto"/>
            </w:tcBorders>
            <w:vAlign w:val="center"/>
          </w:tcPr>
          <w:p w:rsidR="00343D2B" w:rsidRPr="002A3989" w:rsidRDefault="00343D2B" w:rsidP="008F7FD3">
            <w:pPr>
              <w:pStyle w:val="ae"/>
              <w:jc w:val="center"/>
              <w:rPr>
                <w:rFonts w:ascii="ＭＳ Ｐ明朝" w:hAnsi="ＭＳ Ｐ明朝"/>
              </w:rPr>
            </w:pPr>
            <w:r w:rsidRPr="002A3989">
              <w:rPr>
                <w:rFonts w:ascii="ＭＳ Ｐ明朝" w:hAnsi="ＭＳ Ｐ明朝" w:hint="eastAsia"/>
              </w:rPr>
              <w:t>資料</w:t>
            </w:r>
          </w:p>
          <w:p w:rsidR="00343D2B" w:rsidRPr="002A3989" w:rsidRDefault="00343D2B" w:rsidP="008F7FD3">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343D2B" w:rsidRPr="002A3989" w:rsidRDefault="00343D2B" w:rsidP="008F7FD3">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343D2B" w:rsidRPr="002A3989" w:rsidRDefault="00343D2B" w:rsidP="008F7FD3">
            <w:pPr>
              <w:pStyle w:val="ae"/>
              <w:jc w:val="center"/>
              <w:rPr>
                <w:rFonts w:ascii="ＭＳ Ｐ明朝" w:hAnsi="ＭＳ Ｐ明朝"/>
              </w:rPr>
            </w:pPr>
            <w:r w:rsidRPr="002A3989">
              <w:rPr>
                <w:rFonts w:ascii="ＭＳ Ｐ明朝" w:hAnsi="ＭＳ Ｐ明朝" w:hint="eastAsia"/>
              </w:rPr>
              <w:t>所有者</w:t>
            </w:r>
          </w:p>
          <w:p w:rsidR="00343D2B" w:rsidRPr="002A3989" w:rsidRDefault="00343D2B" w:rsidP="008F7FD3">
            <w:pPr>
              <w:pStyle w:val="ae"/>
              <w:jc w:val="center"/>
              <w:rPr>
                <w:rFonts w:ascii="ＭＳ Ｐ明朝" w:hAnsi="ＭＳ Ｐ明朝"/>
              </w:rPr>
            </w:pPr>
            <w:r w:rsidRPr="002A3989">
              <w:rPr>
                <w:rFonts w:ascii="ＭＳ Ｐ明朝" w:hAnsi="ＭＳ Ｐ明朝" w:hint="eastAsia"/>
              </w:rPr>
              <w:t>（著作権者）</w:t>
            </w:r>
          </w:p>
        </w:tc>
      </w:tr>
      <w:tr w:rsidR="00343D2B" w:rsidRPr="0008211E" w:rsidTr="008F7FD3">
        <w:trPr>
          <w:trHeight w:val="527"/>
        </w:trPr>
        <w:tc>
          <w:tcPr>
            <w:tcW w:w="648" w:type="dxa"/>
            <w:tcBorders>
              <w:top w:val="nil"/>
              <w:bottom w:val="single" w:sz="4" w:space="0" w:color="auto"/>
            </w:tcBorders>
            <w:vAlign w:val="center"/>
          </w:tcPr>
          <w:p w:rsidR="00343D2B" w:rsidRPr="002A3989" w:rsidRDefault="00343D2B" w:rsidP="00343D2B">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343D2B" w:rsidRPr="005E71ED" w:rsidRDefault="00343D2B" w:rsidP="008F7FD3">
            <w:pPr>
              <w:snapToGrid w:val="0"/>
              <w:jc w:val="left"/>
              <w:rPr>
                <w:rFonts w:ascii="ＭＳ 明朝" w:hAnsi="ＭＳ 明朝"/>
              </w:rPr>
            </w:pPr>
            <w:r w:rsidRPr="00A35D74">
              <w:rPr>
                <w:rFonts w:ascii="ＭＳ 明朝" w:hAnsi="ＭＳ 明朝" w:hint="eastAsia"/>
              </w:rPr>
              <w:t>税関事務自動化機能の構築に伴う第</w:t>
            </w:r>
            <w:r w:rsidRPr="00A35D74">
              <w:rPr>
                <w:rFonts w:ascii="ＭＳ 明朝" w:hAnsi="ＭＳ 明朝"/>
              </w:rPr>
              <w:t>4</w:t>
            </w:r>
            <w:r w:rsidRPr="00A35D74">
              <w:rPr>
                <w:rFonts w:ascii="ＭＳ 明朝" w:hAnsi="ＭＳ 明朝" w:hint="eastAsia"/>
              </w:rPr>
              <w:t>次通関情報総合判定システム（第</w:t>
            </w:r>
            <w:r w:rsidRPr="00A35D74">
              <w:rPr>
                <w:rFonts w:ascii="ＭＳ 明朝" w:hAnsi="ＭＳ 明朝"/>
              </w:rPr>
              <w:t>4</w:t>
            </w:r>
            <w:r w:rsidRPr="00A35D74">
              <w:rPr>
                <w:rFonts w:ascii="ＭＳ 明朝" w:hAnsi="ＭＳ 明朝" w:hint="eastAsia"/>
              </w:rPr>
              <w:t>次</w:t>
            </w:r>
            <w:r w:rsidRPr="00A35D74">
              <w:rPr>
                <w:rFonts w:ascii="ＭＳ 明朝" w:hAnsi="ＭＳ 明朝"/>
              </w:rPr>
              <w:t>CIS</w:t>
            </w:r>
            <w:r w:rsidRPr="00A35D74">
              <w:rPr>
                <w:rFonts w:ascii="ＭＳ 明朝" w:hAnsi="ＭＳ 明朝" w:hint="eastAsia"/>
              </w:rPr>
              <w:t>）に係る追加ハードウェアの賃貸借及び保守</w:t>
            </w:r>
          </w:p>
          <w:p w:rsidR="00343D2B" w:rsidRPr="005E71ED" w:rsidRDefault="00343D2B" w:rsidP="008F7FD3">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rPr>
          <w:trHeight w:val="527"/>
        </w:trPr>
        <w:tc>
          <w:tcPr>
            <w:tcW w:w="648" w:type="dxa"/>
            <w:tcBorders>
              <w:top w:val="single" w:sz="4" w:space="0" w:color="auto"/>
              <w:bottom w:val="single" w:sz="4" w:space="0" w:color="auto"/>
            </w:tcBorders>
            <w:vAlign w:val="center"/>
          </w:tcPr>
          <w:p w:rsidR="00343D2B" w:rsidRPr="002A3989" w:rsidRDefault="00343D2B" w:rsidP="00343D2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343D2B" w:rsidRPr="002A3989" w:rsidRDefault="00343D2B" w:rsidP="008F7FD3">
            <w:pPr>
              <w:snapToGrid w:val="0"/>
              <w:jc w:val="left"/>
              <w:rPr>
                <w:rFonts w:asciiTheme="minorEastAsia" w:eastAsiaTheme="minorEastAsia" w:hAnsiTheme="minorEastAsia"/>
              </w:rPr>
            </w:pPr>
            <w:r w:rsidRPr="00A35D74">
              <w:rPr>
                <w:rFonts w:hint="eastAsia"/>
              </w:rPr>
              <w:t>ハードウェア要件</w:t>
            </w:r>
          </w:p>
        </w:tc>
        <w:tc>
          <w:tcPr>
            <w:tcW w:w="1440" w:type="dxa"/>
            <w:tcBorders>
              <w:top w:val="single" w:sz="4" w:space="0" w:color="auto"/>
              <w:bottom w:val="single" w:sz="4" w:space="0" w:color="auto"/>
            </w:tcBorders>
            <w:vAlign w:val="center"/>
          </w:tcPr>
          <w:p w:rsidR="00343D2B" w:rsidRPr="002A3989" w:rsidRDefault="00343D2B" w:rsidP="008F7FD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rPr>
          <w:trHeight w:val="527"/>
        </w:trPr>
        <w:tc>
          <w:tcPr>
            <w:tcW w:w="648" w:type="dxa"/>
            <w:tcBorders>
              <w:top w:val="single" w:sz="4" w:space="0" w:color="auto"/>
              <w:bottom w:val="single" w:sz="4" w:space="0" w:color="auto"/>
            </w:tcBorders>
            <w:vAlign w:val="center"/>
          </w:tcPr>
          <w:p w:rsidR="00343D2B" w:rsidRPr="002A3989" w:rsidRDefault="00343D2B" w:rsidP="00343D2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343D2B" w:rsidRPr="005E71ED" w:rsidRDefault="00343D2B" w:rsidP="008F7FD3">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343D2B" w:rsidRPr="002A3989" w:rsidRDefault="00343D2B" w:rsidP="008F7FD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rPr>
          <w:trHeight w:val="527"/>
        </w:trPr>
        <w:tc>
          <w:tcPr>
            <w:tcW w:w="648" w:type="dxa"/>
            <w:tcBorders>
              <w:top w:val="single" w:sz="4" w:space="0" w:color="auto"/>
              <w:bottom w:val="single" w:sz="4" w:space="0" w:color="auto"/>
            </w:tcBorders>
            <w:vAlign w:val="center"/>
          </w:tcPr>
          <w:p w:rsidR="00343D2B" w:rsidRPr="002A3989" w:rsidRDefault="00343D2B" w:rsidP="00343D2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343D2B" w:rsidRPr="002A3989" w:rsidRDefault="00343D2B" w:rsidP="008F7FD3">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343D2B" w:rsidRPr="002A3989" w:rsidRDefault="00343D2B" w:rsidP="008F7FD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rPr>
          <w:trHeight w:val="527"/>
        </w:trPr>
        <w:tc>
          <w:tcPr>
            <w:tcW w:w="648" w:type="dxa"/>
            <w:tcBorders>
              <w:top w:val="single" w:sz="4" w:space="0" w:color="auto"/>
              <w:bottom w:val="single" w:sz="4" w:space="0" w:color="auto"/>
            </w:tcBorders>
            <w:vAlign w:val="center"/>
          </w:tcPr>
          <w:p w:rsidR="00343D2B" w:rsidRPr="002A3989" w:rsidRDefault="00343D2B" w:rsidP="00343D2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343D2B" w:rsidRPr="002A3989" w:rsidRDefault="00343D2B" w:rsidP="008F7FD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343D2B" w:rsidRDefault="00343D2B" w:rsidP="00343D2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343D2B" w:rsidRPr="0008211E" w:rsidRDefault="00343D2B" w:rsidP="00343D2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343D2B" w:rsidRPr="0008211E" w:rsidRDefault="00343D2B" w:rsidP="00343D2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43D2B" w:rsidRPr="0008211E" w:rsidTr="008F7FD3">
        <w:trPr>
          <w:tblHeader/>
        </w:trPr>
        <w:tc>
          <w:tcPr>
            <w:tcW w:w="648" w:type="dxa"/>
            <w:tcBorders>
              <w:top w:val="single" w:sz="4" w:space="0" w:color="auto"/>
            </w:tcBorders>
            <w:vAlign w:val="center"/>
          </w:tcPr>
          <w:p w:rsidR="00343D2B" w:rsidRPr="0008211E" w:rsidRDefault="00343D2B" w:rsidP="008F7FD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343D2B" w:rsidRPr="0008211E" w:rsidRDefault="00343D2B" w:rsidP="008F7FD3">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343D2B" w:rsidRPr="0008211E" w:rsidRDefault="00343D2B" w:rsidP="008F7FD3">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343D2B" w:rsidRPr="0008211E" w:rsidRDefault="00343D2B" w:rsidP="008F7FD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343D2B" w:rsidRPr="0008211E" w:rsidRDefault="00343D2B" w:rsidP="008F7FD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343D2B" w:rsidRPr="0008211E" w:rsidTr="008F7FD3">
        <w:tc>
          <w:tcPr>
            <w:tcW w:w="648" w:type="dxa"/>
            <w:tcBorders>
              <w:top w:val="nil"/>
            </w:tcBorders>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343D2B" w:rsidRPr="002A3989" w:rsidRDefault="00343D2B" w:rsidP="008F7FD3">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343D2B" w:rsidRPr="002A3989"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Pr="00654685" w:rsidRDefault="00343D2B" w:rsidP="008F7FD3">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343D2B" w:rsidRPr="00654685" w:rsidRDefault="00343D2B" w:rsidP="008F7FD3">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343D2B" w:rsidRDefault="00343D2B" w:rsidP="008F7FD3">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vAlign w:val="center"/>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343D2B" w:rsidRPr="002A3989" w:rsidRDefault="00343D2B" w:rsidP="008F7FD3">
            <w:pPr>
              <w:snapToGrid w:val="0"/>
              <w:jc w:val="left"/>
              <w:rPr>
                <w:rFonts w:asciiTheme="minorEastAsia" w:eastAsiaTheme="minorEastAsia" w:hAnsiTheme="minorEastAsia"/>
                <w:lang w:eastAsia="zh-TW"/>
              </w:rPr>
            </w:pPr>
            <w:r>
              <w:rPr>
                <w:rFonts w:asciiTheme="minorEastAsia" w:eastAsiaTheme="minorEastAsia" w:hAnsiTheme="minorEastAsia" w:hint="eastAsia"/>
              </w:rPr>
              <w:t>プロジェクト計画書等関連文書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343D2B" w:rsidRPr="00FF5DF5" w:rsidRDefault="00343D2B" w:rsidP="008F7FD3">
            <w:pPr>
              <w:pStyle w:val="af0"/>
              <w:ind w:leftChars="0" w:left="0" w:firstLineChars="0" w:firstLine="0"/>
              <w:rPr>
                <w:color w:val="000000" w:themeColor="text1"/>
              </w:rPr>
            </w:pPr>
            <w:r w:rsidRPr="00FF5DF5">
              <w:rPr>
                <w:rFonts w:hint="eastAsia"/>
              </w:rPr>
              <w:t>関税納付手続の利便性向上に</w:t>
            </w:r>
            <w:r w:rsidRPr="00FF5DF5">
              <w:rPr>
                <w:rFonts w:hint="eastAsia"/>
                <w:color w:val="000000" w:themeColor="text1"/>
              </w:rPr>
              <w:t>伴う第4次CISのプログラム変更　基本設計書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閲覧資料14</w:t>
            </w:r>
          </w:p>
          <w:p w:rsidR="00343D2B" w:rsidRPr="00FF5DF5" w:rsidRDefault="00343D2B" w:rsidP="008F7FD3">
            <w:pPr>
              <w:pStyle w:val="af0"/>
              <w:ind w:leftChars="0" w:left="0" w:firstLineChars="0" w:firstLine="0"/>
              <w:rPr>
                <w:color w:val="000000" w:themeColor="text1"/>
              </w:rPr>
            </w:pPr>
            <w:r w:rsidRPr="00FF5DF5">
              <w:rPr>
                <w:rFonts w:hint="eastAsia"/>
              </w:rPr>
              <w:t>関税納付手続の利便性向上に</w:t>
            </w:r>
            <w:r w:rsidRPr="00FF5DF5">
              <w:rPr>
                <w:rFonts w:hint="eastAsia"/>
                <w:color w:val="000000" w:themeColor="text1"/>
              </w:rPr>
              <w:t>伴う第4次CISのプログラム変更　詳細設計書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閲覧資料15</w:t>
            </w:r>
          </w:p>
          <w:p w:rsidR="00343D2B" w:rsidRPr="00FF5DF5" w:rsidRDefault="00343D2B" w:rsidP="008F7FD3">
            <w:pPr>
              <w:pStyle w:val="af0"/>
              <w:ind w:leftChars="0" w:left="0" w:firstLineChars="0" w:firstLine="0"/>
              <w:rPr>
                <w:color w:val="000000" w:themeColor="text1"/>
              </w:rPr>
            </w:pPr>
            <w:r w:rsidRPr="00FF5DF5">
              <w:rPr>
                <w:rFonts w:hint="eastAsia"/>
                <w:color w:val="000000" w:themeColor="text1"/>
              </w:rPr>
              <w:t>キャッシュレス対応に伴う第4次CISのプログラム変更　基本設計書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閲覧資料16</w:t>
            </w:r>
          </w:p>
          <w:p w:rsidR="00343D2B" w:rsidRPr="00FF5DF5" w:rsidRDefault="00343D2B" w:rsidP="008F7FD3">
            <w:pPr>
              <w:pStyle w:val="af0"/>
              <w:ind w:leftChars="0" w:left="0" w:firstLineChars="0" w:firstLine="0"/>
              <w:rPr>
                <w:color w:val="FF0000"/>
              </w:rPr>
            </w:pPr>
            <w:r w:rsidRPr="00FF5DF5">
              <w:rPr>
                <w:rFonts w:hint="eastAsia"/>
                <w:color w:val="000000" w:themeColor="text1"/>
              </w:rPr>
              <w:t>キャッシュレス対応に伴う第4次CISのプログラム変更　詳細設計書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閲覧資料17</w:t>
            </w:r>
          </w:p>
          <w:p w:rsidR="00343D2B" w:rsidRDefault="00343D2B" w:rsidP="008F7FD3">
            <w:pPr>
              <w:pStyle w:val="af0"/>
              <w:ind w:leftChars="0" w:left="0" w:firstLineChars="0" w:firstLine="0"/>
              <w:rPr>
                <w:color w:val="000000" w:themeColor="text1"/>
              </w:rPr>
            </w:pPr>
            <w:r w:rsidRPr="00FF5DF5">
              <w:rPr>
                <w:rFonts w:hint="eastAsia"/>
                <w:color w:val="000000" w:themeColor="text1"/>
              </w:rPr>
              <w:t>テレワーク対応に伴う第4次CISのプログラム変更　基本設計書</w:t>
            </w:r>
          </w:p>
          <w:p w:rsidR="00343D2B" w:rsidRPr="00FF5DF5" w:rsidDel="008F5BD8" w:rsidRDefault="00343D2B" w:rsidP="008F7FD3">
            <w:pPr>
              <w:pStyle w:val="af0"/>
              <w:ind w:leftChars="0" w:left="0" w:firstLineChars="0" w:firstLine="0"/>
              <w:rPr>
                <w:color w:val="000000" w:themeColor="text1"/>
              </w:rPr>
            </w:pP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閲覧資料18</w:t>
            </w:r>
          </w:p>
          <w:p w:rsidR="00343D2B" w:rsidRPr="00FF5DF5" w:rsidDel="008F5BD8" w:rsidRDefault="00343D2B" w:rsidP="008F7FD3">
            <w:pPr>
              <w:pStyle w:val="af0"/>
              <w:ind w:leftChars="0" w:left="0" w:firstLineChars="0" w:firstLine="0"/>
              <w:rPr>
                <w:color w:val="000000" w:themeColor="text1"/>
              </w:rPr>
            </w:pPr>
            <w:r w:rsidRPr="00FF5DF5">
              <w:rPr>
                <w:rFonts w:hint="eastAsia"/>
                <w:color w:val="000000" w:themeColor="text1"/>
              </w:rPr>
              <w:t>テレワーク対応に伴う第4次CISのプログラム変更　詳細設計書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閲覧資料19</w:t>
            </w:r>
          </w:p>
          <w:p w:rsidR="00343D2B" w:rsidRPr="00FF5DF5" w:rsidRDefault="00343D2B" w:rsidP="008F7FD3">
            <w:pPr>
              <w:pStyle w:val="af0"/>
              <w:ind w:leftChars="0" w:left="0" w:firstLineChars="0" w:firstLine="0"/>
              <w:rPr>
                <w:color w:val="000000" w:themeColor="text1"/>
              </w:rPr>
            </w:pPr>
            <w:r w:rsidRPr="00FF5DF5">
              <w:rPr>
                <w:rFonts w:hint="eastAsia"/>
              </w:rPr>
              <w:t>適正申告確保の強化に伴う第4次通関情報総合判定システム（第4次CIS）のプログラム変更　調達仕様書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閲覧資料20</w:t>
            </w:r>
          </w:p>
          <w:p w:rsidR="00343D2B" w:rsidRPr="00FF5DF5" w:rsidRDefault="00343D2B" w:rsidP="008F7FD3">
            <w:pPr>
              <w:pStyle w:val="af0"/>
              <w:ind w:leftChars="0" w:left="0" w:firstLineChars="0" w:firstLine="0"/>
              <w:rPr>
                <w:color w:val="000000" w:themeColor="text1"/>
              </w:rPr>
            </w:pPr>
            <w:r w:rsidRPr="00FF5DF5">
              <w:rPr>
                <w:rFonts w:hint="eastAsia"/>
                <w:color w:val="000000" w:themeColor="text1"/>
              </w:rPr>
              <w:t>通関事務総合データ通信システムの</w:t>
            </w:r>
            <w:r>
              <w:rPr>
                <w:rFonts w:hint="eastAsia"/>
                <w:color w:val="000000" w:themeColor="text1"/>
              </w:rPr>
              <w:t>概要</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閲覧資料21</w:t>
            </w:r>
          </w:p>
          <w:p w:rsidR="00343D2B" w:rsidRPr="00FF5DF5" w:rsidRDefault="00343D2B" w:rsidP="008F7FD3">
            <w:pPr>
              <w:pStyle w:val="af0"/>
              <w:ind w:leftChars="0" w:left="0" w:firstLineChars="0" w:firstLine="0"/>
              <w:rPr>
                <w:color w:val="000000" w:themeColor="text1"/>
              </w:rPr>
            </w:pPr>
            <w:r w:rsidRPr="00FF5DF5">
              <w:rPr>
                <w:rFonts w:hint="eastAsia"/>
                <w:color w:val="000000" w:themeColor="text1"/>
              </w:rPr>
              <w:lastRenderedPageBreak/>
              <w:t>現行R</w:t>
            </w:r>
            <w:r w:rsidRPr="00FF5DF5">
              <w:rPr>
                <w:color w:val="000000" w:themeColor="text1"/>
              </w:rPr>
              <w:t>PA</w:t>
            </w:r>
            <w:r w:rsidRPr="00FF5DF5">
              <w:rPr>
                <w:rFonts w:hint="eastAsia"/>
                <w:color w:val="000000" w:themeColor="text1"/>
              </w:rPr>
              <w:t>実行ソフトウェアマニュアル</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lastRenderedPageBreak/>
              <w:t>東京税関</w:t>
            </w:r>
          </w:p>
        </w:tc>
      </w:tr>
      <w:tr w:rsidR="00343D2B" w:rsidRPr="0008211E" w:rsidTr="008F7FD3">
        <w:tc>
          <w:tcPr>
            <w:tcW w:w="648" w:type="dxa"/>
            <w:vAlign w:val="center"/>
          </w:tcPr>
          <w:p w:rsidR="00343D2B" w:rsidRPr="002A3989" w:rsidRDefault="00343D2B" w:rsidP="00343D2B">
            <w:pPr>
              <w:numPr>
                <w:ilvl w:val="0"/>
                <w:numId w:val="8"/>
              </w:numPr>
              <w:snapToGrid w:val="0"/>
              <w:jc w:val="right"/>
              <w:rPr>
                <w:rFonts w:asciiTheme="minorEastAsia" w:eastAsiaTheme="minorEastAsia" w:hAnsiTheme="minorEastAsia"/>
              </w:rPr>
            </w:pPr>
          </w:p>
        </w:tc>
        <w:tc>
          <w:tcPr>
            <w:tcW w:w="6660" w:type="dxa"/>
          </w:tcPr>
          <w:p w:rsidR="00343D2B" w:rsidRDefault="00343D2B" w:rsidP="008F7FD3">
            <w:pPr>
              <w:snapToGrid w:val="0"/>
              <w:jc w:val="left"/>
              <w:rPr>
                <w:rFonts w:asciiTheme="minorEastAsia" w:eastAsiaTheme="minorEastAsia" w:hAnsiTheme="minorEastAsia"/>
              </w:rPr>
            </w:pPr>
            <w:r>
              <w:rPr>
                <w:rFonts w:asciiTheme="minorEastAsia" w:eastAsiaTheme="minorEastAsia" w:hAnsiTheme="minorEastAsia" w:hint="eastAsia"/>
              </w:rPr>
              <w:t>閲覧資料22</w:t>
            </w:r>
          </w:p>
          <w:p w:rsidR="00343D2B" w:rsidRPr="00FF5DF5" w:rsidRDefault="00343D2B" w:rsidP="008F7FD3">
            <w:pPr>
              <w:pStyle w:val="af0"/>
              <w:ind w:leftChars="0" w:left="0" w:firstLineChars="0" w:firstLine="0"/>
              <w:rPr>
                <w:color w:val="000000" w:themeColor="text1"/>
              </w:rPr>
            </w:pPr>
            <w:r w:rsidRPr="00FF5DF5">
              <w:rPr>
                <w:color w:val="000000" w:themeColor="text1"/>
              </w:rPr>
              <w:t>WinActorの導入及び導入に係る支援の</w:t>
            </w:r>
            <w:r w:rsidRPr="00FF5DF5">
              <w:rPr>
                <w:rFonts w:hint="eastAsia"/>
                <w:color w:val="000000" w:themeColor="text1"/>
              </w:rPr>
              <w:t>調達仕様書</w:t>
            </w:r>
          </w:p>
        </w:tc>
        <w:tc>
          <w:tcPr>
            <w:tcW w:w="1440" w:type="dxa"/>
            <w:vAlign w:val="center"/>
          </w:tcPr>
          <w:p w:rsidR="00343D2B" w:rsidRPr="002A3989" w:rsidRDefault="00343D2B" w:rsidP="008F7FD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343D2B" w:rsidRPr="0008211E" w:rsidRDefault="00343D2B" w:rsidP="00343D2B">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343D2B" w:rsidRPr="0008211E" w:rsidRDefault="00343D2B" w:rsidP="00343D2B">
      <w:pPr>
        <w:rPr>
          <w:rFonts w:ascii="ＭＳ Ｐゴシック" w:eastAsia="ＭＳ Ｐゴシック" w:hAnsi="ＭＳ Ｐゴシック"/>
        </w:rPr>
      </w:pPr>
    </w:p>
    <w:p w:rsidR="00343D2B" w:rsidRPr="0008211E" w:rsidRDefault="00343D2B" w:rsidP="00343D2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p>
        </w:tc>
        <w:tc>
          <w:tcPr>
            <w:tcW w:w="3054"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r>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r>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r>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r>
      <w:tr w:rsidR="00343D2B" w:rsidRPr="0008211E" w:rsidTr="008F7FD3">
        <w:tc>
          <w:tcPr>
            <w:tcW w:w="606" w:type="dxa"/>
          </w:tcPr>
          <w:p w:rsidR="00343D2B" w:rsidRPr="0008211E" w:rsidRDefault="00343D2B" w:rsidP="008F7F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c>
          <w:tcPr>
            <w:tcW w:w="1696" w:type="dxa"/>
          </w:tcPr>
          <w:p w:rsidR="00343D2B" w:rsidRPr="0008211E" w:rsidRDefault="00343D2B" w:rsidP="008F7FD3">
            <w:pPr>
              <w:jc w:val="center"/>
              <w:rPr>
                <w:rFonts w:ascii="ＭＳ Ｐゴシック" w:eastAsia="ＭＳ Ｐゴシック" w:hAnsi="ＭＳ Ｐゴシック"/>
              </w:rPr>
            </w:pPr>
          </w:p>
        </w:tc>
      </w:tr>
    </w:tbl>
    <w:p w:rsidR="00343D2B" w:rsidRPr="0008211E" w:rsidRDefault="00343D2B" w:rsidP="00343D2B">
      <w:pPr>
        <w:rPr>
          <w:rFonts w:ascii="ＭＳ Ｐゴシック" w:eastAsia="ＭＳ Ｐゴシック" w:hAnsi="ＭＳ Ｐゴシック"/>
        </w:rPr>
      </w:pPr>
    </w:p>
    <w:p w:rsidR="00343D2B" w:rsidRPr="007F484D" w:rsidRDefault="00343D2B" w:rsidP="00B44B9B">
      <w:pPr>
        <w:spacing w:line="140" w:lineRule="atLeast"/>
        <w:jc w:val="right"/>
        <w:rPr>
          <w:rFonts w:hint="eastAsia"/>
          <w:sz w:val="22"/>
          <w:szCs w:val="22"/>
        </w:rPr>
      </w:pPr>
      <w:bookmarkStart w:id="0" w:name="_GoBack"/>
      <w:bookmarkEnd w:id="0"/>
    </w:p>
    <w:sectPr w:rsidR="00343D2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05C9B"/>
    <w:rsid w:val="00310F6C"/>
    <w:rsid w:val="003169C4"/>
    <w:rsid w:val="00330189"/>
    <w:rsid w:val="00332875"/>
    <w:rsid w:val="00343D2B"/>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4C13C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343D2B"/>
    <w:rPr>
      <w:rFonts w:eastAsia="ＭＳ Ｐ明朝"/>
      <w:sz w:val="21"/>
      <w:szCs w:val="21"/>
    </w:rPr>
  </w:style>
  <w:style w:type="character" w:customStyle="1" w:styleId="af">
    <w:name w:val="表標準 (文字)"/>
    <w:basedOn w:val="a0"/>
    <w:link w:val="ae"/>
    <w:rsid w:val="00343D2B"/>
    <w:rPr>
      <w:rFonts w:eastAsia="ＭＳ Ｐ明朝"/>
      <w:kern w:val="2"/>
      <w:sz w:val="21"/>
      <w:szCs w:val="21"/>
    </w:rPr>
  </w:style>
  <w:style w:type="paragraph" w:customStyle="1" w:styleId="af0">
    <w:name w:val="見出し４本文"/>
    <w:basedOn w:val="a"/>
    <w:rsid w:val="00343D2B"/>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2644</Words>
  <Characters>376</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16</cp:revision>
  <cp:lastPrinted>2014-10-30T12:31:00Z</cp:lastPrinted>
  <dcterms:created xsi:type="dcterms:W3CDTF">2016-11-14T00:59:00Z</dcterms:created>
  <dcterms:modified xsi:type="dcterms:W3CDTF">2021-12-27T01:24:00Z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