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bookmarkStart w:id="0" w:name="_GoBack"/>
      <w:bookmarkEnd w:id="0"/>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C516BB" w:rsidRPr="006C31F1">
        <w:rPr>
          <w:rFonts w:ascii="ＭＳ 明朝" w:hAnsi="ＭＳ 明朝" w:hint="eastAsia"/>
          <w:sz w:val="21"/>
          <w:szCs w:val="21"/>
        </w:rPr>
        <w:t>高速液体クロマトグラフ１式及びフーリエ変換赤外分光分析装置２式</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「高速液体クロマトグラフ１式及びフーリエ変換赤外分光分析装置２式」</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C516BB" w:rsidP="001D1DDB">
            <w:pPr>
              <w:snapToGrid w:val="0"/>
              <w:jc w:val="left"/>
              <w:rPr>
                <w:rFonts w:asciiTheme="minorEastAsia" w:eastAsiaTheme="minorEastAsia" w:hAnsiTheme="minorEastAsia"/>
                <w:kern w:val="0"/>
                <w:sz w:val="21"/>
                <w:szCs w:val="21"/>
              </w:rPr>
            </w:pPr>
            <w:r w:rsidRPr="006C31F1">
              <w:rPr>
                <w:rFonts w:ascii="ＭＳ 明朝" w:hAnsi="ＭＳ 明朝" w:hint="eastAsia"/>
                <w:sz w:val="21"/>
                <w:szCs w:val="21"/>
              </w:rPr>
              <w:t>高速液体クロマトグラフ１式及びフーリエ変換赤外分光分析装置２式</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7254A4">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別紙１　</w:t>
            </w:r>
            <w:r w:rsidR="00D30835" w:rsidRPr="006C31F1">
              <w:rPr>
                <w:rFonts w:asciiTheme="minorEastAsia" w:eastAsiaTheme="minorEastAsia" w:hAnsiTheme="minorEastAsia" w:hint="eastAsia"/>
                <w:sz w:val="21"/>
                <w:szCs w:val="21"/>
              </w:rPr>
              <w:t>ネットワーク構成図</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1D1DDB"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1D1DDB" w:rsidP="00D30835">
            <w:pPr>
              <w:snapToGrid w:val="0"/>
              <w:jc w:val="lef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 xml:space="preserve">別紙２　</w:t>
            </w:r>
            <w:r w:rsidR="00D30835" w:rsidRPr="006C31F1">
              <w:rPr>
                <w:rFonts w:asciiTheme="minorEastAsia" w:eastAsiaTheme="minorEastAsia" w:hAnsiTheme="minorEastAsia" w:hint="eastAsia"/>
                <w:sz w:val="21"/>
                <w:szCs w:val="21"/>
              </w:rPr>
              <w:t>機器等リスト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0747-3347-43A1-9CCE-C5D71783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43</cp:revision>
  <cp:lastPrinted>2017-04-05T06:00:00Z</cp:lastPrinted>
  <dcterms:created xsi:type="dcterms:W3CDTF">2015-02-05T04:09:00Z</dcterms:created>
  <dcterms:modified xsi:type="dcterms:W3CDTF">2022-07-12T09:32:00Z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